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DF7927"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921CB">
        <w:rPr>
          <w:rFonts w:ascii="Times New Roman" w:eastAsia="Times New Roman" w:hAnsi="Times New Roman" w:cs="Times New Roman"/>
          <w:b/>
          <w:sz w:val="28"/>
          <w:szCs w:val="28"/>
        </w:rPr>
        <w:t>Анализ и оценка проектов</w:t>
      </w:r>
      <w:r w:rsidR="00DF7927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21CB">
        <w:rPr>
          <w:rFonts w:ascii="Times New Roman" w:eastAsia="Times New Roman" w:hAnsi="Times New Roman" w:cs="Times New Roman"/>
          <w:b/>
          <w:sz w:val="28"/>
          <w:szCs w:val="28"/>
        </w:rPr>
        <w:t>магистрантов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921CB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  <w:r w:rsidR="004921C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профильного направления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F7927">
        <w:rPr>
          <w:rFonts w:ascii="Times New Roman" w:hAnsi="Times New Roman" w:cs="Times New Roman"/>
          <w:sz w:val="24"/>
          <w:szCs w:val="24"/>
        </w:rPr>
        <w:t>4</w:t>
      </w: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Pr="00153ED2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по выполнению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семинарских работ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разработаны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и рекомендованы на заседании кафедры 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>от «__»  20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№___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DF7927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DF7927" w:rsidRPr="00DF7927" w:rsidRDefault="00DF7927" w:rsidP="00DF79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Рекомендованы  методическим бюро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>«___» 2014 г.,  протокол №__</w:t>
      </w:r>
      <w:proofErr w:type="gramEnd"/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2AE4" w:rsidRDefault="00FC0EE5" w:rsidP="009E2A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9E2AE4"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E2AE4">
        <w:rPr>
          <w:rFonts w:ascii="Times New Roman" w:eastAsia="Times New Roman" w:hAnsi="Times New Roman" w:cs="Times New Roman"/>
          <w:b/>
          <w:sz w:val="28"/>
          <w:szCs w:val="28"/>
        </w:rPr>
        <w:t>Анализ и оценка проектов</w:t>
      </w:r>
      <w:r w:rsidR="009E2AE4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C64D6" w:rsidRDefault="00CC64D6" w:rsidP="009E2A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теоретических основ </w:t>
      </w:r>
      <w:r w:rsidR="009A0E7D">
        <w:rPr>
          <w:rFonts w:ascii="Times New Roman" w:eastAsia="Batang" w:hAnsi="Times New Roman" w:cs="Times New Roman"/>
          <w:sz w:val="28"/>
          <w:szCs w:val="24"/>
          <w:lang w:eastAsia="ko-KR"/>
        </w:rPr>
        <w:t>анализа и оценки проектов</w:t>
      </w:r>
      <w:proofErr w:type="gramStart"/>
      <w:r w:rsidR="009A0E7D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,</w:t>
      </w:r>
      <w:proofErr w:type="gramEnd"/>
      <w:r w:rsidR="009A0E7D">
        <w:rPr>
          <w:rFonts w:ascii="Times New Roman" w:eastAsia="Batang" w:hAnsi="Times New Roman" w:cs="Times New Roman"/>
          <w:sz w:val="28"/>
          <w:szCs w:val="24"/>
          <w:lang w:eastAsia="ko-KR"/>
        </w:rPr>
        <w:t>проектного анализа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сопровождается проведением семинаров.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</w:t>
      </w:r>
      <w:r w:rsidR="00C221D5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магистрантами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знаний (сведений), полученных на лекциях, овладении   терминологией, практическими навыками </w:t>
      </w:r>
      <w:r w:rsidR="00C221D5">
        <w:rPr>
          <w:rFonts w:ascii="Times New Roman" w:eastAsia="Batang" w:hAnsi="Times New Roman" w:cs="Times New Roman"/>
          <w:sz w:val="28"/>
          <w:szCs w:val="24"/>
          <w:lang w:eastAsia="ko-KR"/>
        </w:rPr>
        <w:t>анализа и оценки проектов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="00C221D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методов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расчет</w:t>
      </w:r>
      <w:r w:rsidR="00C221D5">
        <w:rPr>
          <w:rFonts w:ascii="Times New Roman" w:eastAsia="Batang" w:hAnsi="Times New Roman" w:cs="Times New Roman"/>
          <w:sz w:val="28"/>
          <w:szCs w:val="24"/>
          <w:lang w:eastAsia="ko-KR"/>
        </w:rPr>
        <w:t>а простых и сложных процентов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="00E73F52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обязан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="00E73F52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должен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</w:t>
      </w:r>
      <w:r w:rsidR="00D06F77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</w:t>
      </w:r>
      <w:proofErr w:type="spellStart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проблемности</w:t>
      </w:r>
      <w:proofErr w:type="spellEnd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 отдельными студентами и других факторов.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устный опрос студентов;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решение задач с вызовом студента к доске.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                     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содержание семинарских занятий</w:t>
      </w:r>
    </w:p>
    <w:p w:rsidR="00354F21" w:rsidRPr="00354F21" w:rsidRDefault="00CC64D6" w:rsidP="00354F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="00354F21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 xml:space="preserve">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823"/>
        <w:gridCol w:w="929"/>
        <w:gridCol w:w="3075"/>
      </w:tblGrid>
      <w:tr w:rsidR="00354F21" w:rsidRPr="00354F21" w:rsidTr="005B29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 тем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Темы СРМ</w:t>
            </w:r>
          </w:p>
        </w:tc>
      </w:tr>
      <w:tr w:rsidR="00354F21" w:rsidRPr="00354F21" w:rsidTr="005B293A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модуль. Пректный анализ.  Организация процесса подготовки проектов</w:t>
            </w: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1-2-3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Л.(1)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Структура проектного анализа и ее характеристика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СЗ.(1)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виды проектов и основные элементы проекта. Понятие пректного анализа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Л.(2)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развития операций по схеме простых процентов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 СРМ </w:t>
            </w:r>
          </w:p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Эффективная и номинальная ставки процентов. Непрерывное начисление процентов. Исчисление срока платежа и процентных ставок. Расчет перода удвоения инвестиций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СЗ.(2)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Инструментарий инвестиционного проектирования. Расчет простых процентов и переменная ставка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Л.(3)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Наращение по сложной ставке процентов </w:t>
            </w:r>
          </w:p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СЗ.(3)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простых процентов. Непрерывное начисление процентов. Банковский учет и математическое дисконтирование. Эффективная и номинальная ставки процентов. Исчисление срока платежа и процентных ставок. Расчет периода удвоения инвестиций. Комбинированный метод.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 Модуль. Финансовые ренты</w:t>
            </w: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7-8-9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Л.(4)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рента </w:t>
            </w:r>
            <w:proofErr w:type="spellStart"/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постнумерандо</w:t>
            </w:r>
            <w:proofErr w:type="spellEnd"/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пренумерандо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СЗ.(4)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 платежей. Непрерывная рента. Коэффициент наращения.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Л.(5)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стоимость ренты </w:t>
            </w:r>
            <w:proofErr w:type="spellStart"/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постнумерандо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2- СРМ </w:t>
            </w:r>
          </w:p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Непрерывная рента. Коэфициент наращения ренты. Различные сроки начисления процентов, р- срочная рента. Вывод формул для р-срочных рент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при различных видов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СЗ.(5)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наращенной и современной стоимости финансовой ренты. Определение параметров финансовой ренты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Модуль. Погашение задолженности и доходность кредитных отношений</w:t>
            </w: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Л.(6)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 простой процентной ставки. Актуарный метод. Правило продавца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3- СРМ </w:t>
            </w:r>
          </w:p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Методы расчета(в зависимости от выплаты процентов на сумму долга кредитору или присоединение к основной сумме долга)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СЗ.(6)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расчета остатки долга. Актуарный метод и правило продавца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Модуль. Критерии оценок в проектном анализе</w:t>
            </w: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Л.(7)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задолженности равными срочными уплатами. Льготный период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СЗ.(7)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планов погашения долгосрочной задолженности. Расчет при льготных периодах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Л.(8)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эффективности проектов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4- СРМ </w:t>
            </w:r>
          </w:p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Преимущества показателей потока денежных средств по сравнению с прибылью. Этапы расчета дисконтированного денежного потока. Анализ и прогноз валовых доходов, валовых расходов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СЗ.(8)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методы расчета эффективности инвестиционных проектов. Срок окупаемости и норма прибыли проектов. Классификация постановок задач по оценке эффективности проекта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 Модуль.Стратегия долгосрочных инвестиционных решений предприятия </w:t>
            </w: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Л.(9)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и инфляция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 СРМ</w:t>
            </w:r>
          </w:p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Анализ и прогноз инвестиций. Расчет чистого денежного потока для каждого года. Расчет остаточной стоимости</w:t>
            </w: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СЗ.(9) 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потоков проекта. Анализ и прогноз валовых доходов и расходов. Финансовый подход к показателю потока денежных средств. Определение чистого потока денежных средств.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4F21" w:rsidRPr="00354F21" w:rsidTr="005B293A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СЗ.</w:t>
            </w: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1" w:rsidRPr="00354F21" w:rsidRDefault="00354F21" w:rsidP="0035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21" w:rsidRPr="00354F21" w:rsidRDefault="00354F21" w:rsidP="003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4F21" w:rsidRPr="00354F21" w:rsidRDefault="00354F21" w:rsidP="00354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4D6" w:rsidRPr="00CC64D6" w:rsidRDefault="00CC64D6" w:rsidP="00354F21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6A" w:rsidRDefault="003A126A" w:rsidP="00B625EC">
      <w:pPr>
        <w:spacing w:after="0" w:line="240" w:lineRule="auto"/>
      </w:pPr>
      <w:r>
        <w:separator/>
      </w:r>
    </w:p>
  </w:endnote>
  <w:endnote w:type="continuationSeparator" w:id="0">
    <w:p w:rsidR="003A126A" w:rsidRDefault="003A126A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6A" w:rsidRDefault="003A126A" w:rsidP="00B625EC">
      <w:pPr>
        <w:spacing w:after="0" w:line="240" w:lineRule="auto"/>
      </w:pPr>
      <w:r>
        <w:separator/>
      </w:r>
    </w:p>
  </w:footnote>
  <w:footnote w:type="continuationSeparator" w:id="0">
    <w:p w:rsidR="003A126A" w:rsidRDefault="003A126A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485A6384"/>
    <w:multiLevelType w:val="hybridMultilevel"/>
    <w:tmpl w:val="3DD4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9"/>
  </w:num>
  <w:num w:numId="6">
    <w:abstractNumId w:val="13"/>
  </w:num>
  <w:num w:numId="7">
    <w:abstractNumId w:val="37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6"/>
  </w:num>
  <w:num w:numId="13">
    <w:abstractNumId w:val="35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8"/>
  </w:num>
  <w:num w:numId="26">
    <w:abstractNumId w:val="25"/>
  </w:num>
  <w:num w:numId="27">
    <w:abstractNumId w:val="0"/>
  </w:num>
  <w:num w:numId="28">
    <w:abstractNumId w:val="9"/>
  </w:num>
  <w:num w:numId="29">
    <w:abstractNumId w:val="40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4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3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6243E"/>
    <w:rsid w:val="002B5A58"/>
    <w:rsid w:val="002F4B32"/>
    <w:rsid w:val="00354F21"/>
    <w:rsid w:val="00360197"/>
    <w:rsid w:val="0038231A"/>
    <w:rsid w:val="00386564"/>
    <w:rsid w:val="003A126A"/>
    <w:rsid w:val="003D5118"/>
    <w:rsid w:val="003F196D"/>
    <w:rsid w:val="004268D6"/>
    <w:rsid w:val="0042794D"/>
    <w:rsid w:val="004624A1"/>
    <w:rsid w:val="004921CB"/>
    <w:rsid w:val="00492D86"/>
    <w:rsid w:val="004B3FB6"/>
    <w:rsid w:val="004C0067"/>
    <w:rsid w:val="004D052A"/>
    <w:rsid w:val="004D56B3"/>
    <w:rsid w:val="004F7F3A"/>
    <w:rsid w:val="00565278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0415F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0E7D"/>
    <w:rsid w:val="009A53A3"/>
    <w:rsid w:val="009C031F"/>
    <w:rsid w:val="009E2AE4"/>
    <w:rsid w:val="00A43095"/>
    <w:rsid w:val="00A53680"/>
    <w:rsid w:val="00B625EC"/>
    <w:rsid w:val="00B732EC"/>
    <w:rsid w:val="00BA3D41"/>
    <w:rsid w:val="00C221D5"/>
    <w:rsid w:val="00C96EF2"/>
    <w:rsid w:val="00CC3CAF"/>
    <w:rsid w:val="00CC64D6"/>
    <w:rsid w:val="00CD2A1F"/>
    <w:rsid w:val="00CD39ED"/>
    <w:rsid w:val="00CF5E47"/>
    <w:rsid w:val="00D06F77"/>
    <w:rsid w:val="00D1507A"/>
    <w:rsid w:val="00D56161"/>
    <w:rsid w:val="00DF7927"/>
    <w:rsid w:val="00E73F52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700A-80A2-4E30-8EE5-27DA0E58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71</cp:revision>
  <cp:lastPrinted>2013-02-10T10:53:00Z</cp:lastPrinted>
  <dcterms:created xsi:type="dcterms:W3CDTF">2008-10-26T06:31:00Z</dcterms:created>
  <dcterms:modified xsi:type="dcterms:W3CDTF">2014-10-03T08:48:00Z</dcterms:modified>
</cp:coreProperties>
</file>